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69"/>
        <w:gridCol w:w="3612"/>
        <w:gridCol w:w="6513"/>
      </w:tblGrid>
      <w:tr w:rsidR="00AA7F8A" w:rsidRPr="00AA7F8A" w:rsidTr="003309AB">
        <w:trPr>
          <w:trHeight w:val="293"/>
          <w:jc w:val="center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predeterminado"/>
              <w:rPr>
                <w:rFonts w:ascii="Arial" w:hAnsi="Arial"/>
                <w:b/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PROCESO: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3F4850" w:rsidRDefault="006127CB" w:rsidP="00C9644F">
            <w:pPr>
              <w:pStyle w:val="Textopredeterminado"/>
              <w:rPr>
                <w:rFonts w:ascii="Arial" w:hAnsi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Gestión Jurídica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AA7F8A" w:rsidRDefault="00AA7F8A" w:rsidP="00AA7F8A">
            <w:pPr>
              <w:pStyle w:val="Textopredeterminado"/>
              <w:rPr>
                <w:rFonts w:ascii="Arial" w:hAnsi="Arial"/>
                <w:color w:val="auto"/>
                <w:sz w:val="18"/>
              </w:rPr>
            </w:pPr>
            <w:r w:rsidRPr="00AA7F8A">
              <w:rPr>
                <w:rFonts w:ascii="Arial" w:hAnsi="Arial"/>
                <w:color w:val="auto"/>
                <w:sz w:val="16"/>
                <w:szCs w:val="16"/>
              </w:rPr>
              <w:t>ESTRATEGICO__ MISIONAL____ APOYO</w:t>
            </w:r>
            <w:r w:rsidR="006127CB" w:rsidRPr="004A18E7">
              <w:rPr>
                <w:rFonts w:ascii="Arial" w:hAnsi="Arial"/>
                <w:b/>
                <w:sz w:val="18"/>
                <w:szCs w:val="18"/>
              </w:rPr>
              <w:t xml:space="preserve"> X</w:t>
            </w:r>
            <w:r w:rsidR="006127CB" w:rsidRPr="00AA7F8A">
              <w:rPr>
                <w:rFonts w:ascii="Arial" w:hAnsi="Arial"/>
                <w:color w:val="auto"/>
                <w:sz w:val="16"/>
                <w:szCs w:val="16"/>
              </w:rPr>
              <w:t xml:space="preserve"> </w:t>
            </w:r>
            <w:r w:rsidRPr="00AA7F8A">
              <w:rPr>
                <w:rFonts w:ascii="Arial" w:hAnsi="Arial"/>
                <w:color w:val="auto"/>
                <w:sz w:val="16"/>
                <w:szCs w:val="16"/>
              </w:rPr>
              <w:t>SEGUIMIENTO Y CONTROL _</w:t>
            </w:r>
            <w:r>
              <w:rPr>
                <w:rFonts w:ascii="Arial" w:hAnsi="Arial"/>
                <w:color w:val="auto"/>
                <w:sz w:val="16"/>
                <w:szCs w:val="16"/>
              </w:rPr>
              <w:t>_</w:t>
            </w:r>
            <w:r w:rsidRPr="00AA7F8A">
              <w:rPr>
                <w:rFonts w:ascii="Arial" w:hAnsi="Arial"/>
                <w:color w:val="auto"/>
                <w:sz w:val="16"/>
                <w:szCs w:val="16"/>
                <w:u w:val="single"/>
              </w:rPr>
              <w:t>_</w:t>
            </w:r>
          </w:p>
        </w:tc>
      </w:tr>
      <w:tr w:rsidR="00AA7F8A" w:rsidRPr="00AA7F8A" w:rsidTr="003309AB">
        <w:trPr>
          <w:trHeight w:val="293"/>
          <w:jc w:val="center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OBJETIVO DEL PROCESO:</w:t>
            </w:r>
          </w:p>
        </w:tc>
        <w:tc>
          <w:tcPr>
            <w:tcW w:w="3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3F4850" w:rsidRDefault="006127CB" w:rsidP="008600A9">
            <w:pPr>
              <w:pStyle w:val="Textopredeterminado"/>
              <w:jc w:val="both"/>
              <w:rPr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 xml:space="preserve">Formular, organizar, dirigir, ejecutar y controlar los planes, programas y proyectos del ámbito jurídico del ente territorial, así como atender lo relativo a los asuntos jurídicos del municipio, creando y fijando la política jurídica y unificando criterios a nivel municipal ejerciendo así las funciones jurídicas en todos los aspectos relativos a Asuntos Legales, Procesos Judiciales, Contratación, Conciliación y acciones constitucionales.  </w:t>
            </w:r>
          </w:p>
        </w:tc>
      </w:tr>
      <w:tr w:rsidR="00AA7F8A" w:rsidRPr="00AA7F8A" w:rsidTr="003309AB">
        <w:trPr>
          <w:trHeight w:val="293"/>
          <w:jc w:val="center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LIDER DEL PROCESO</w:t>
            </w:r>
          </w:p>
        </w:tc>
        <w:tc>
          <w:tcPr>
            <w:tcW w:w="3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3F4850" w:rsidRDefault="006127CB" w:rsidP="00C9644F">
            <w:pPr>
              <w:pStyle w:val="Textopredeterminado"/>
              <w:rPr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Secretaria Jurídica.</w:t>
            </w:r>
          </w:p>
        </w:tc>
      </w:tr>
    </w:tbl>
    <w:p w:rsidR="00B04F15" w:rsidRPr="00B04F15" w:rsidRDefault="00B04F15">
      <w:pPr>
        <w:rPr>
          <w:sz w:val="2"/>
          <w:szCs w:val="2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69"/>
        <w:gridCol w:w="2308"/>
        <w:gridCol w:w="359"/>
        <w:gridCol w:w="1424"/>
        <w:gridCol w:w="1538"/>
        <w:gridCol w:w="2357"/>
        <w:gridCol w:w="2139"/>
      </w:tblGrid>
      <w:tr w:rsidR="00AA7F8A" w:rsidRPr="00AA7F8A" w:rsidTr="003309AB">
        <w:trPr>
          <w:trHeight w:val="293"/>
          <w:tblHeader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232C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FUENTES DE ENTRADAS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232C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1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232C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232C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232C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3F4850" w:rsidRPr="003F4850" w:rsidTr="003309AB">
        <w:trPr>
          <w:trHeight w:val="588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Proceso de Planeación Estratégica.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Plan de desarrollo.</w:t>
            </w: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114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Elabora plan de acción.</w:t>
            </w:r>
          </w:p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Plan de acción Secretaría Jurídica.</w:t>
            </w:r>
          </w:p>
        </w:tc>
        <w:tc>
          <w:tcPr>
            <w:tcW w:w="8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 xml:space="preserve">Proceso de Planeación Estratégica </w:t>
            </w:r>
          </w:p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Proceso Gestión Jurídica</w:t>
            </w:r>
          </w:p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Proceso de Control Interno de Gestión</w:t>
            </w:r>
          </w:p>
        </w:tc>
      </w:tr>
      <w:tr w:rsidR="003F4850" w:rsidRPr="003F4850" w:rsidTr="003309AB">
        <w:trPr>
          <w:trHeight w:val="510"/>
        </w:trPr>
        <w:tc>
          <w:tcPr>
            <w:tcW w:w="11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Entidades gubernamentales del Orden Nacional y/o Departamental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Normatividad legal vigente.</w:t>
            </w:r>
          </w:p>
        </w:tc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predeterminad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4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F4850" w:rsidRPr="003F4850" w:rsidTr="003309AB">
        <w:trPr>
          <w:trHeight w:val="510"/>
        </w:trPr>
        <w:tc>
          <w:tcPr>
            <w:tcW w:w="11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Partes interesadas.</w:t>
            </w:r>
          </w:p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Requerimientos de derechos de petición, solicitudes, quejas o reclamos,</w:t>
            </w:r>
          </w:p>
          <w:p w:rsidR="003F4850" w:rsidRPr="003F4850" w:rsidRDefault="003F4850" w:rsidP="00C232C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3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1140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Aplica normatividad vigente respecto a los derechos de petición.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Respuesta al derecho de petición, solicitud, queja o reclamo.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Partes interesadas.</w:t>
            </w:r>
          </w:p>
          <w:p w:rsidR="003F4850" w:rsidRPr="003F4850" w:rsidRDefault="003F4850" w:rsidP="00C232CB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F4850" w:rsidRPr="003F4850" w:rsidTr="003309AB">
        <w:trPr>
          <w:trHeight w:val="746"/>
        </w:trPr>
        <w:tc>
          <w:tcPr>
            <w:tcW w:w="11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Solicitudes de Conceptos Jurídicos.</w:t>
            </w:r>
          </w:p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4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Analiza aspectos facticos y jurídicos del requerimiento para emitir el concepto.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Concepto jurídico emitido.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</w:tr>
      <w:tr w:rsidR="003F4850" w:rsidRPr="003F4850" w:rsidTr="003309AB">
        <w:trPr>
          <w:trHeight w:val="483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Todos los procesos.</w:t>
            </w:r>
          </w:p>
          <w:p w:rsidR="003F4850" w:rsidRPr="003F4850" w:rsidRDefault="003F4850" w:rsidP="00C232C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Institutos descentralizados.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Proyectos de Acuerdo, con sus soportes.</w:t>
            </w:r>
          </w:p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Revisa el acuerdo conforme a la normatividad vigente.</w:t>
            </w:r>
          </w:p>
          <w:p w:rsidR="003F4850" w:rsidRPr="003F4850" w:rsidRDefault="003F4850" w:rsidP="00C232C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Proyecto de acuerdo viabilizado.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Concejo Municipal.</w:t>
            </w:r>
          </w:p>
        </w:tc>
      </w:tr>
      <w:tr w:rsidR="003F4850" w:rsidRPr="003F4850" w:rsidTr="003309AB">
        <w:trPr>
          <w:trHeight w:val="750"/>
        </w:trPr>
        <w:tc>
          <w:tcPr>
            <w:tcW w:w="11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Proceso Gestión Jurídica.</w:t>
            </w:r>
          </w:p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Necesidad de expedir Acto administrativo.</w:t>
            </w:r>
          </w:p>
        </w:tc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40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Elabora el acto Administrativo.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Acto Administrativo propio del proceso.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Todos los procesos.</w:t>
            </w:r>
          </w:p>
          <w:p w:rsidR="003F4850" w:rsidRPr="003F4850" w:rsidRDefault="003F4850" w:rsidP="00C232C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F4850" w:rsidRPr="003F4850" w:rsidRDefault="003F4850" w:rsidP="00C232C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Ciudadanos.</w:t>
            </w:r>
          </w:p>
        </w:tc>
      </w:tr>
      <w:tr w:rsidR="003F4850" w:rsidRPr="003F4850" w:rsidTr="003309AB">
        <w:trPr>
          <w:trHeight w:val="971"/>
        </w:trPr>
        <w:tc>
          <w:tcPr>
            <w:tcW w:w="11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Solicitud de revisión de acto administrativo.</w:t>
            </w:r>
          </w:p>
        </w:tc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40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850" w:rsidRDefault="003F4850" w:rsidP="00C232C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Revisa los aspectos facticos y jurídicos del Acto Administrativo para firma del Señor Alcalde.</w:t>
            </w:r>
          </w:p>
          <w:p w:rsidR="003309AB" w:rsidRDefault="003309AB" w:rsidP="00C232C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309AB" w:rsidRDefault="003309AB" w:rsidP="00C232C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4850" w:rsidRPr="003F4850" w:rsidRDefault="003F4850" w:rsidP="00C232C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Viabilidad del Acto administrativo.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850" w:rsidRPr="003F4850" w:rsidRDefault="003F4850" w:rsidP="00C232C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Proceso Planeación Estratégica/ Despacho Alcalde.</w:t>
            </w:r>
          </w:p>
        </w:tc>
      </w:tr>
      <w:tr w:rsidR="00C232CB" w:rsidRPr="003F4850" w:rsidTr="003309AB">
        <w:trPr>
          <w:trHeight w:val="410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C232CB" w:rsidRPr="00AA7F8A" w:rsidRDefault="00C232CB" w:rsidP="00C232C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lastRenderedPageBreak/>
              <w:t>FUENTES DE ENTRADAS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C232CB" w:rsidRPr="00AA7F8A" w:rsidRDefault="00C232CB" w:rsidP="00C232C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127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C232CB" w:rsidRPr="00AA7F8A" w:rsidRDefault="00C232CB" w:rsidP="00C232C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C232CB" w:rsidRPr="00AA7F8A" w:rsidRDefault="00C232CB" w:rsidP="00C232C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C232CB" w:rsidRPr="00AA7F8A" w:rsidRDefault="00C232CB" w:rsidP="00C232C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3309AB" w:rsidRPr="003F4850" w:rsidTr="003309AB">
        <w:trPr>
          <w:trHeight w:val="410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Ciudadanía.</w:t>
            </w: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Entes descentralizados.</w:t>
            </w: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Entes de Control.</w:t>
            </w: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Demandas judiciales y acciones constitucionales.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Adelanta la defensa y hace seguimiento a los procesos y acciones judiciales en que haga parte la entidad.</w:t>
            </w: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Piezas procesales.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Proceso Gestión Jurídica.</w:t>
            </w: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Despachos judiciales.</w:t>
            </w:r>
          </w:p>
        </w:tc>
      </w:tr>
      <w:tr w:rsidR="003309AB" w:rsidRPr="003F4850" w:rsidTr="003309AB">
        <w:trPr>
          <w:trHeight w:val="715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Ciudadanía.</w:t>
            </w: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Entes descentralizados.</w:t>
            </w: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Entes de Control</w:t>
            </w: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Solicitudes de conciliaciones extrajudiciales y judiciales</w:t>
            </w: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  <w:p w:rsidR="003309AB" w:rsidRPr="003F4850" w:rsidRDefault="003309AB" w:rsidP="003309A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Estudia la procedencia o no de la solicitud de conciliación. – Comité de conciliación-</w:t>
            </w: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Concepto jurídico.</w:t>
            </w: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Acta comité de conciliación.</w:t>
            </w: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Parámetro de conciliación.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Todos los procesos del SIGC.</w:t>
            </w: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Despachos judiciales.</w:t>
            </w: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Centros de conciliación y/o arbitraje.</w:t>
            </w: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Procuraduría Judicial para asuntos administrativos.</w:t>
            </w: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309AB" w:rsidRPr="003F4850" w:rsidTr="003309AB">
        <w:trPr>
          <w:trHeight w:val="630"/>
        </w:trPr>
        <w:tc>
          <w:tcPr>
            <w:tcW w:w="11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Proceso Gestión de las Finanzas Publicas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Egreso y sus soportes</w:t>
            </w: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40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Estudia la procedencia o no de la acción de repetición. – Comité de conciliación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Concepto jurídico.</w:t>
            </w: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Acta comité de conciliación.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Proceso Gestión Jurídica</w:t>
            </w: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Control Interno Disciplinario</w:t>
            </w:r>
          </w:p>
        </w:tc>
      </w:tr>
      <w:tr w:rsidR="003309AB" w:rsidRPr="003F4850" w:rsidTr="003309AB">
        <w:trPr>
          <w:trHeight w:val="630"/>
        </w:trPr>
        <w:tc>
          <w:tcPr>
            <w:tcW w:w="11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Entes de Control.</w:t>
            </w: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Concejo.</w:t>
            </w: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Proceso de Mejoramiento Continuo.</w:t>
            </w: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Requerimiento de Informes.</w:t>
            </w:r>
          </w:p>
        </w:tc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40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4850">
              <w:rPr>
                <w:rFonts w:ascii="Arial" w:hAnsi="Arial" w:cs="Arial"/>
                <w:sz w:val="18"/>
                <w:szCs w:val="18"/>
              </w:rPr>
              <w:t>Consolida la información y lo ajusta al requerimiento realizado.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Informes de gestión.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Entes de Control.</w:t>
            </w: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Concejo.</w:t>
            </w: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3F4850">
              <w:rPr>
                <w:sz w:val="18"/>
                <w:szCs w:val="18"/>
              </w:rPr>
              <w:t>Proceso de Mejoramiento Continuo.</w:t>
            </w:r>
          </w:p>
        </w:tc>
      </w:tr>
      <w:tr w:rsidR="003309AB" w:rsidRPr="003F4850" w:rsidTr="003309AB">
        <w:trPr>
          <w:trHeight w:val="630"/>
        </w:trPr>
        <w:tc>
          <w:tcPr>
            <w:tcW w:w="11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E20AF5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0AF5"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Default="003309AB" w:rsidP="003309A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0AF5">
              <w:rPr>
                <w:rFonts w:ascii="Arial" w:hAnsi="Arial" w:cs="Arial"/>
                <w:sz w:val="18"/>
                <w:szCs w:val="18"/>
              </w:rPr>
              <w:t>Solicitud de viabilidad jurídica a los estudios previos invitación pública y proyecto de pliegos de condiciones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309AB" w:rsidRPr="00E20AF5" w:rsidRDefault="003309AB" w:rsidP="003309A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Pr="00E20AF5" w:rsidRDefault="003309AB" w:rsidP="003309A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40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Pr="00E20AF5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0AF5">
              <w:rPr>
                <w:rFonts w:ascii="Arial" w:hAnsi="Arial" w:cs="Arial"/>
                <w:sz w:val="18"/>
                <w:szCs w:val="18"/>
              </w:rPr>
              <w:t>Revisa los aspectos facticos y jurídicos de estudios previos, invitación pública y proyecto de pliegos de condiciones.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E20AF5">
              <w:rPr>
                <w:sz w:val="18"/>
                <w:szCs w:val="18"/>
              </w:rPr>
              <w:t>Viabilidad jurídica de la modalidad de contratación.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E20AF5">
              <w:rPr>
                <w:sz w:val="18"/>
                <w:szCs w:val="18"/>
              </w:rPr>
              <w:t>Todos los procesos.</w:t>
            </w:r>
          </w:p>
        </w:tc>
      </w:tr>
      <w:tr w:rsidR="003309AB" w:rsidRPr="003F4850" w:rsidTr="003309AB">
        <w:trPr>
          <w:trHeight w:val="410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309AB" w:rsidRPr="00AA7F8A" w:rsidRDefault="003309AB" w:rsidP="003309A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lastRenderedPageBreak/>
              <w:t>FUENTES DE ENTRADAS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309AB" w:rsidRPr="00AA7F8A" w:rsidRDefault="003309AB" w:rsidP="003309A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127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309AB" w:rsidRPr="00AA7F8A" w:rsidRDefault="003309AB" w:rsidP="003309A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309AB" w:rsidRPr="00AA7F8A" w:rsidRDefault="003309AB" w:rsidP="003309A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309AB" w:rsidRPr="00AA7F8A" w:rsidRDefault="003309AB" w:rsidP="003309AB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3309AB" w:rsidRPr="003F4850" w:rsidTr="003309AB">
        <w:trPr>
          <w:trHeight w:val="410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E20AF5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0AF5">
              <w:rPr>
                <w:rFonts w:ascii="Arial" w:hAnsi="Arial" w:cs="Arial"/>
                <w:sz w:val="18"/>
                <w:szCs w:val="18"/>
              </w:rPr>
              <w:t>Proceso de Gestión Jurídica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E20AF5">
              <w:rPr>
                <w:sz w:val="18"/>
                <w:szCs w:val="18"/>
              </w:rPr>
              <w:t>Registro de productos o Servicios no Conformes.</w:t>
            </w:r>
          </w:p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E20AF5">
              <w:rPr>
                <w:sz w:val="18"/>
                <w:szCs w:val="18"/>
              </w:rPr>
              <w:t>Indicadores de gestión.</w:t>
            </w:r>
          </w:p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E20AF5">
              <w:rPr>
                <w:sz w:val="18"/>
                <w:szCs w:val="18"/>
              </w:rPr>
              <w:t xml:space="preserve">Resultados de la gestión del proceso. </w:t>
            </w:r>
          </w:p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E20AF5">
              <w:rPr>
                <w:sz w:val="18"/>
                <w:szCs w:val="18"/>
              </w:rPr>
              <w:t>Informes de auditoría.</w:t>
            </w:r>
          </w:p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E20AF5">
              <w:rPr>
                <w:sz w:val="18"/>
                <w:szCs w:val="18"/>
              </w:rPr>
              <w:t xml:space="preserve">Mapa de riesgos. </w:t>
            </w:r>
          </w:p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E20AF5">
              <w:rPr>
                <w:sz w:val="18"/>
                <w:szCs w:val="18"/>
              </w:rPr>
              <w:t>Informes entes de control.</w:t>
            </w:r>
          </w:p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E20AF5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0AF5">
              <w:rPr>
                <w:rFonts w:ascii="Arial" w:hAnsi="Arial" w:cs="Arial"/>
                <w:sz w:val="18"/>
                <w:szCs w:val="18"/>
              </w:rPr>
              <w:t>Plan de Acción.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Pr="00E20AF5" w:rsidRDefault="003309AB" w:rsidP="003309A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20AF5">
              <w:rPr>
                <w:rFonts w:ascii="Arial" w:hAnsi="Arial" w:cs="Arial"/>
                <w:b/>
                <w:color w:val="auto"/>
                <w:sz w:val="18"/>
                <w:szCs w:val="18"/>
              </w:rPr>
              <w:t>V</w:t>
            </w:r>
          </w:p>
        </w:tc>
        <w:tc>
          <w:tcPr>
            <w:tcW w:w="114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Pr="00E20AF5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0AF5">
              <w:rPr>
                <w:rFonts w:ascii="Arial" w:hAnsi="Arial" w:cs="Arial"/>
                <w:sz w:val="18"/>
                <w:szCs w:val="18"/>
              </w:rPr>
              <w:t>Realiza seguimiento y cumplimiento de metas, indicadores y administración de riesgos.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E20AF5">
              <w:rPr>
                <w:sz w:val="18"/>
                <w:szCs w:val="18"/>
              </w:rPr>
              <w:t xml:space="preserve">Medición de los indicadores y la gestión del proceso </w:t>
            </w:r>
          </w:p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  <w:r w:rsidRPr="00E20AF5">
              <w:rPr>
                <w:sz w:val="18"/>
                <w:szCs w:val="18"/>
              </w:rPr>
              <w:t>Mitigación de riesgos.</w:t>
            </w:r>
          </w:p>
          <w:p w:rsidR="003309AB" w:rsidRPr="00E20AF5" w:rsidRDefault="003309AB" w:rsidP="003309A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309AB" w:rsidRPr="00E20AF5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0AF5">
              <w:rPr>
                <w:rFonts w:ascii="Arial" w:hAnsi="Arial" w:cs="Arial"/>
                <w:sz w:val="18"/>
                <w:szCs w:val="18"/>
              </w:rPr>
              <w:t>Medición al Plan de Acción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Pr="00E20AF5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0AF5">
              <w:rPr>
                <w:rFonts w:ascii="Arial" w:hAnsi="Arial" w:cs="Arial"/>
                <w:sz w:val="18"/>
                <w:szCs w:val="18"/>
              </w:rPr>
              <w:t>Proceso de Gestión Jurídica.</w:t>
            </w:r>
          </w:p>
        </w:tc>
      </w:tr>
      <w:tr w:rsidR="003309AB" w:rsidRPr="003F4850" w:rsidTr="003309AB">
        <w:trPr>
          <w:trHeight w:val="603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31B9C">
              <w:rPr>
                <w:rFonts w:ascii="Arial" w:hAnsi="Arial" w:cs="Arial"/>
                <w:color w:val="auto"/>
                <w:sz w:val="18"/>
                <w:szCs w:val="18"/>
              </w:rPr>
              <w:t>Proceso de Gestión del Talento Humano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:rsidR="003309AB" w:rsidRPr="00431B9C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309AB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31B9C">
              <w:rPr>
                <w:rFonts w:ascii="Arial" w:hAnsi="Arial" w:cs="Arial"/>
                <w:color w:val="auto"/>
                <w:sz w:val="18"/>
                <w:szCs w:val="18"/>
              </w:rPr>
              <w:t>Proceso Seguridad y Salud y Trabajo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:rsidR="003309AB" w:rsidRPr="00431B9C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309AB" w:rsidRDefault="003309AB" w:rsidP="003309A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31B9C">
              <w:rPr>
                <w:rFonts w:ascii="Arial" w:hAnsi="Arial" w:cs="Arial"/>
                <w:color w:val="auto"/>
                <w:sz w:val="18"/>
                <w:szCs w:val="18"/>
              </w:rPr>
              <w:t>Proceso Control Interno a la Gestión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:rsidR="003309AB" w:rsidRPr="00431B9C" w:rsidRDefault="003309AB" w:rsidP="003309A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309AB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31B9C">
              <w:rPr>
                <w:rFonts w:ascii="Arial" w:hAnsi="Arial" w:cs="Arial"/>
                <w:color w:val="auto"/>
                <w:sz w:val="18"/>
                <w:szCs w:val="18"/>
              </w:rPr>
              <w:t>Proceso Mejoramiento Continuo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:rsidR="003309AB" w:rsidRPr="00431B9C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 de Atención a la Ciudadanía.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9AB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Hallazgos generados por:</w:t>
            </w:r>
          </w:p>
          <w:p w:rsidR="003309AB" w:rsidRDefault="003309AB" w:rsidP="003309AB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Indicadores del proceso medidos y analizados.</w:t>
            </w:r>
          </w:p>
          <w:p w:rsidR="003309AB" w:rsidRDefault="003309AB" w:rsidP="003309AB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Uso de documentación del SIGC.</w:t>
            </w:r>
          </w:p>
          <w:p w:rsidR="003309AB" w:rsidRDefault="003309AB" w:rsidP="003309AB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Servicios no conformes tratados.</w:t>
            </w:r>
          </w:p>
          <w:p w:rsidR="003309AB" w:rsidRPr="00F3186F" w:rsidRDefault="003309AB" w:rsidP="003309AB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86F">
              <w:rPr>
                <w:rFonts w:ascii="Arial" w:hAnsi="Arial" w:cs="Arial"/>
                <w:sz w:val="18"/>
                <w:szCs w:val="18"/>
              </w:rPr>
              <w:t>Desempeño de indicadores</w:t>
            </w:r>
          </w:p>
          <w:p w:rsidR="003309AB" w:rsidRPr="00F3186F" w:rsidRDefault="003309AB" w:rsidP="003309AB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86F">
              <w:rPr>
                <w:rFonts w:ascii="Arial" w:hAnsi="Arial" w:cs="Arial"/>
                <w:sz w:val="18"/>
                <w:szCs w:val="18"/>
              </w:rPr>
              <w:t>Informe de Revisión por proceso</w:t>
            </w:r>
          </w:p>
          <w:p w:rsidR="003309AB" w:rsidRPr="00F3186F" w:rsidRDefault="003309AB" w:rsidP="003309AB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86F">
              <w:rPr>
                <w:rFonts w:ascii="Arial" w:hAnsi="Arial" w:cs="Arial"/>
                <w:sz w:val="18"/>
                <w:szCs w:val="18"/>
              </w:rPr>
              <w:t>Informes de auditoría internas/externas</w:t>
            </w:r>
            <w:r>
              <w:rPr>
                <w:rFonts w:ascii="Arial" w:hAnsi="Arial" w:cs="Arial"/>
                <w:sz w:val="18"/>
                <w:szCs w:val="18"/>
              </w:rPr>
              <w:t xml:space="preserve"> del SIGC.</w:t>
            </w:r>
          </w:p>
          <w:p w:rsidR="003309AB" w:rsidRDefault="003309AB" w:rsidP="003309AB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86F">
              <w:rPr>
                <w:rFonts w:ascii="Arial" w:hAnsi="Arial" w:cs="Arial"/>
                <w:sz w:val="18"/>
                <w:szCs w:val="18"/>
              </w:rPr>
              <w:t>Informes de auditorías de control interno y entes de control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309AB" w:rsidRPr="00BD57FF" w:rsidRDefault="003309AB" w:rsidP="003309AB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57FF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Resultado evaluación de desempeño por dependencia.</w:t>
            </w:r>
          </w:p>
          <w:p w:rsidR="003309AB" w:rsidRPr="00431B9C" w:rsidRDefault="003309AB" w:rsidP="003309AB">
            <w:pPr>
              <w:pStyle w:val="Textodetabla"/>
              <w:numPr>
                <w:ilvl w:val="0"/>
                <w:numId w:val="1"/>
              </w:numPr>
              <w:spacing w:after="120"/>
              <w:ind w:left="23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86F">
              <w:rPr>
                <w:rFonts w:ascii="Arial" w:hAnsi="Arial" w:cs="Arial"/>
                <w:sz w:val="18"/>
                <w:szCs w:val="18"/>
              </w:rPr>
              <w:t>Informes de revisión por la dirección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31B9C">
              <w:rPr>
                <w:rFonts w:ascii="Arial" w:hAnsi="Arial" w:cs="Arial"/>
                <w:color w:val="auto"/>
                <w:sz w:val="18"/>
                <w:szCs w:val="18"/>
              </w:rPr>
              <w:t>Informe de Encuesta de Satisfacción.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Pr="003F4850" w:rsidRDefault="003309AB" w:rsidP="003309A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4850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A</w:t>
            </w:r>
          </w:p>
        </w:tc>
        <w:tc>
          <w:tcPr>
            <w:tcW w:w="114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tratamiento a las</w:t>
            </w:r>
            <w:r w:rsidRPr="00C337DE">
              <w:rPr>
                <w:rFonts w:ascii="Arial" w:hAnsi="Arial" w:cs="Arial"/>
                <w:sz w:val="18"/>
                <w:szCs w:val="18"/>
              </w:rPr>
              <w:t xml:space="preserve"> Acciones Correctivas,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7DE">
              <w:rPr>
                <w:rFonts w:ascii="Arial" w:hAnsi="Arial" w:cs="Arial"/>
                <w:sz w:val="18"/>
                <w:szCs w:val="18"/>
              </w:rPr>
              <w:t>Preventivas y de Mejora</w:t>
            </w:r>
          </w:p>
          <w:p w:rsidR="003309AB" w:rsidRDefault="003309AB" w:rsidP="003309A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309AB" w:rsidRPr="003F4850" w:rsidRDefault="003309AB" w:rsidP="003309A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tratamiento de producto no conforme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Default="003309AB" w:rsidP="003309A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5DE">
              <w:rPr>
                <w:rFonts w:ascii="Arial" w:hAnsi="Arial" w:cs="Arial"/>
                <w:sz w:val="18"/>
                <w:szCs w:val="18"/>
              </w:rPr>
              <w:t xml:space="preserve">Acciones correctivas, preventivas y de mejora </w:t>
            </w:r>
            <w:r>
              <w:rPr>
                <w:rFonts w:ascii="Arial" w:hAnsi="Arial" w:cs="Arial"/>
                <w:sz w:val="18"/>
                <w:szCs w:val="18"/>
              </w:rPr>
              <w:t>tratadas efectivamente.</w:t>
            </w:r>
          </w:p>
          <w:p w:rsidR="003309AB" w:rsidRPr="00E045DE" w:rsidRDefault="003309AB" w:rsidP="003309A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309AB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309AB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045DE">
              <w:rPr>
                <w:rFonts w:ascii="Arial" w:hAnsi="Arial" w:cs="Arial"/>
                <w:sz w:val="18"/>
                <w:szCs w:val="18"/>
              </w:rPr>
              <w:t>roductos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E045DE">
              <w:rPr>
                <w:rFonts w:ascii="Arial" w:hAnsi="Arial" w:cs="Arial"/>
                <w:sz w:val="18"/>
                <w:szCs w:val="18"/>
              </w:rPr>
              <w:t>servicios no conformes</w:t>
            </w:r>
            <w:r>
              <w:rPr>
                <w:rFonts w:ascii="Arial" w:hAnsi="Arial" w:cs="Arial"/>
                <w:sz w:val="18"/>
                <w:szCs w:val="18"/>
              </w:rPr>
              <w:t xml:space="preserve"> tratados efectivamente.</w:t>
            </w:r>
          </w:p>
          <w:p w:rsidR="003309AB" w:rsidRDefault="003309AB" w:rsidP="003309A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Planes de Mejoramiento</w:t>
            </w:r>
            <w:r w:rsidRPr="00A0370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309AB" w:rsidRDefault="003309AB" w:rsidP="003309A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309AB" w:rsidRPr="00A0370D" w:rsidRDefault="003309AB" w:rsidP="003309AB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70D">
              <w:rPr>
                <w:rFonts w:ascii="Arial" w:hAnsi="Arial" w:cs="Arial"/>
                <w:sz w:val="18"/>
                <w:szCs w:val="18"/>
              </w:rPr>
              <w:t>Planes de mejoramiento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planteados y/o</w:t>
            </w:r>
            <w:r w:rsidRPr="00A0370D">
              <w:rPr>
                <w:rFonts w:ascii="Arial" w:hAnsi="Arial" w:cs="Arial"/>
                <w:sz w:val="18"/>
                <w:szCs w:val="18"/>
              </w:rPr>
              <w:t xml:space="preserve"> actualizados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309AB" w:rsidRPr="003F4850" w:rsidRDefault="003309AB" w:rsidP="003309A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B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Continuo.</w:t>
            </w:r>
          </w:p>
          <w:p w:rsidR="003309AB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309AB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Gestión Jurídica.</w:t>
            </w:r>
          </w:p>
          <w:p w:rsidR="003309AB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309AB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Procesos de Control Interno de Gestión. </w:t>
            </w:r>
          </w:p>
          <w:p w:rsidR="003309AB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309AB" w:rsidRDefault="003309AB" w:rsidP="003309AB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Entidades Externas y/o Entes de Control.</w:t>
            </w:r>
          </w:p>
          <w:p w:rsidR="003309AB" w:rsidRPr="003F4850" w:rsidRDefault="003309AB" w:rsidP="003309AB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309AB" w:rsidRPr="00AA7F8A" w:rsidTr="003309AB">
        <w:trPr>
          <w:trHeight w:val="293"/>
        </w:trPr>
        <w:tc>
          <w:tcPr>
            <w:tcW w:w="1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309AB" w:rsidRPr="00AA7F8A" w:rsidRDefault="003309AB" w:rsidP="003309AB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lastRenderedPageBreak/>
              <w:t>REQUISITOS LEGALES, REGLAMENTARIOS Y NORMATIVOS</w:t>
            </w:r>
          </w:p>
        </w:tc>
        <w:tc>
          <w:tcPr>
            <w:tcW w:w="1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309AB" w:rsidRPr="00AA7F8A" w:rsidRDefault="003309AB" w:rsidP="003309AB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REQUISITOS NORMA ISO 9001: 2015</w:t>
            </w:r>
          </w:p>
        </w:tc>
        <w:tc>
          <w:tcPr>
            <w:tcW w:w="1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309AB" w:rsidRPr="00AA7F8A" w:rsidRDefault="003309AB" w:rsidP="003309AB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 MECI</w:t>
            </w:r>
          </w:p>
        </w:tc>
      </w:tr>
      <w:tr w:rsidR="003309AB" w:rsidRPr="00AA7F8A" w:rsidTr="003309AB">
        <w:trPr>
          <w:trHeight w:val="293"/>
        </w:trPr>
        <w:tc>
          <w:tcPr>
            <w:tcW w:w="1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9AB" w:rsidRPr="00AA7F8A" w:rsidRDefault="003309AB" w:rsidP="003309AB">
            <w:pPr>
              <w:pStyle w:val="Textopredeterminado"/>
              <w:jc w:val="both"/>
              <w:rPr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Ver Normograma del proceso Gestión jurídica. F-MC-1000.238, 37-020.</w:t>
            </w:r>
          </w:p>
        </w:tc>
        <w:tc>
          <w:tcPr>
            <w:tcW w:w="1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4C" w:rsidRDefault="003309AB" w:rsidP="003309AB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6.1 Acciones para a</w:t>
            </w:r>
            <w:r w:rsidR="00BE444C">
              <w:rPr>
                <w:rFonts w:ascii="Arial" w:hAnsi="Arial" w:cs="Arial"/>
                <w:color w:val="auto"/>
                <w:sz w:val="18"/>
                <w:szCs w:val="18"/>
              </w:rPr>
              <w:t>bordar riesgos y oportunidades</w:t>
            </w:r>
          </w:p>
          <w:p w:rsidR="00BE444C" w:rsidRDefault="003309AB" w:rsidP="00BE444C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53E1">
              <w:rPr>
                <w:rFonts w:ascii="Arial" w:hAnsi="Arial" w:cs="Arial"/>
                <w:color w:val="auto"/>
                <w:sz w:val="18"/>
                <w:szCs w:val="18"/>
              </w:rPr>
              <w:t>7.1.6 Conocimiento de la organización</w:t>
            </w:r>
          </w:p>
          <w:p w:rsidR="003309AB" w:rsidRPr="00AA7F8A" w:rsidRDefault="003309AB" w:rsidP="00BE444C">
            <w:pPr>
              <w:pStyle w:val="Textodetabla"/>
              <w:jc w:val="left"/>
              <w:rPr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 Operación.</w:t>
            </w:r>
          </w:p>
        </w:tc>
        <w:tc>
          <w:tcPr>
            <w:tcW w:w="1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B" w:rsidRPr="008C4588" w:rsidRDefault="00E13E4B" w:rsidP="00E13E4B">
            <w:pPr>
              <w:pStyle w:val="Textodetabla"/>
              <w:jc w:val="left"/>
              <w:rPr>
                <w:rFonts w:ascii="Arial" w:hAnsi="Arial" w:cs="Arial"/>
                <w:sz w:val="18"/>
              </w:rPr>
            </w:pPr>
            <w:r w:rsidRPr="008C4588">
              <w:rPr>
                <w:rFonts w:ascii="Arial" w:hAnsi="Arial" w:cs="Arial"/>
                <w:sz w:val="18"/>
              </w:rPr>
              <w:t>1.2.2 Modelo de operación po</w:t>
            </w:r>
            <w:r>
              <w:rPr>
                <w:rFonts w:ascii="Arial" w:hAnsi="Arial" w:cs="Arial"/>
                <w:sz w:val="18"/>
              </w:rPr>
              <w:t>r</w:t>
            </w:r>
            <w:r w:rsidRPr="008C4588">
              <w:rPr>
                <w:rFonts w:ascii="Arial" w:hAnsi="Arial" w:cs="Arial"/>
                <w:sz w:val="18"/>
              </w:rPr>
              <w:t xml:space="preserve"> procesos</w:t>
            </w:r>
          </w:p>
          <w:p w:rsidR="00E13E4B" w:rsidRDefault="00E13E4B" w:rsidP="00E13E4B">
            <w:pPr>
              <w:pStyle w:val="Textodetabla"/>
              <w:jc w:val="left"/>
              <w:rPr>
                <w:rFonts w:ascii="Arial" w:hAnsi="Arial" w:cs="Arial"/>
                <w:sz w:val="18"/>
              </w:rPr>
            </w:pPr>
            <w:r w:rsidRPr="008C4588">
              <w:rPr>
                <w:rFonts w:ascii="Arial" w:hAnsi="Arial" w:cs="Arial"/>
                <w:sz w:val="18"/>
              </w:rPr>
              <w:t>1.2.5 Políticas de Operación</w:t>
            </w:r>
          </w:p>
          <w:p w:rsidR="00E13E4B" w:rsidRDefault="00E13E4B" w:rsidP="00E13E4B">
            <w:pPr>
              <w:pStyle w:val="Textodetabla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1.3.1 P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olíticas de administración del riesgo.</w:t>
            </w:r>
          </w:p>
          <w:p w:rsidR="00E13E4B" w:rsidRDefault="00E13E4B" w:rsidP="00E13E4B">
            <w:pPr>
              <w:pStyle w:val="Textodetabla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1.3.2 Identificación del Riesgo</w:t>
            </w:r>
          </w:p>
          <w:p w:rsidR="00E13E4B" w:rsidRPr="008C4588" w:rsidRDefault="00E13E4B" w:rsidP="00E13E4B">
            <w:pPr>
              <w:pStyle w:val="Textodetabla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1.3.3 Análisis y Valoración del Riesgo</w:t>
            </w:r>
          </w:p>
          <w:p w:rsidR="003309AB" w:rsidRPr="00AA7F8A" w:rsidRDefault="003309AB" w:rsidP="003309AB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</w:tr>
      <w:tr w:rsidR="003309AB" w:rsidRPr="00AA7F8A" w:rsidTr="003309AB">
        <w:trPr>
          <w:trHeight w:val="293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309AB" w:rsidRPr="00AA7F8A" w:rsidRDefault="003309AB" w:rsidP="003309AB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RIESGOS DEL PROCESO</w:t>
            </w:r>
          </w:p>
        </w:tc>
        <w:tc>
          <w:tcPr>
            <w:tcW w:w="38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9AB" w:rsidRPr="00E54F55" w:rsidRDefault="003309AB" w:rsidP="003309AB">
            <w:pPr>
              <w:pStyle w:val="Textopredeterminad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Véase M</w:t>
            </w:r>
            <w:r w:rsidRPr="00921F6B">
              <w:rPr>
                <w:rFonts w:ascii="Arial" w:hAnsi="Arial" w:cs="Arial"/>
                <w:color w:val="auto"/>
                <w:sz w:val="18"/>
                <w:szCs w:val="18"/>
              </w:rPr>
              <w:t xml:space="preserve">apa de riesgos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de Gestión F-DPM-1210-238,37-013. Mapa de riesgos y Plan Anticorrupción y Atención al Ciudadano. Mapa de Riesgos de Corrupción (Página Web </w:t>
            </w:r>
            <w:hyperlink r:id="rId7" w:history="1">
              <w:r w:rsidRPr="00F762ED">
                <w:rPr>
                  <w:rStyle w:val="Hipervnculo"/>
                  <w:rFonts w:ascii="Arial" w:hAnsi="Arial" w:cs="Arial"/>
                  <w:sz w:val="18"/>
                  <w:szCs w:val="18"/>
                </w:rPr>
                <w:t>www.bucaramanga.gov.co</w:t>
              </w:r>
            </w:hyperlink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</w:tr>
      <w:tr w:rsidR="003309AB" w:rsidRPr="00AA7F8A" w:rsidTr="003309AB">
        <w:trPr>
          <w:trHeight w:val="293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309AB" w:rsidRPr="00AA7F8A" w:rsidRDefault="003309AB" w:rsidP="003309AB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RECURSOS REQUERIDOS PARA EL PROCESO</w:t>
            </w:r>
          </w:p>
        </w:tc>
        <w:tc>
          <w:tcPr>
            <w:tcW w:w="38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9AB" w:rsidRDefault="003309AB" w:rsidP="003309AB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AE1DF6">
              <w:rPr>
                <w:rFonts w:ascii="Arial" w:hAnsi="Arial" w:cs="Arial"/>
                <w:b/>
                <w:sz w:val="18"/>
                <w:szCs w:val="18"/>
              </w:rPr>
              <w:t>Técnicos: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E1DF6">
              <w:rPr>
                <w:rFonts w:ascii="Arial" w:hAnsi="Arial" w:cs="Arial"/>
                <w:sz w:val="18"/>
                <w:szCs w:val="18"/>
              </w:rPr>
              <w:t>Instalaciones locativas adecuadas para la prestación de los servicios, Oficinas</w:t>
            </w:r>
            <w:r>
              <w:rPr>
                <w:rFonts w:ascii="Arial" w:hAnsi="Arial" w:cs="Arial"/>
                <w:sz w:val="18"/>
                <w:szCs w:val="18"/>
              </w:rPr>
              <w:t xml:space="preserve"> dotadas de equipos de cómputo, </w:t>
            </w:r>
            <w:r w:rsidRPr="00AE1DF6">
              <w:rPr>
                <w:rFonts w:ascii="Arial" w:hAnsi="Arial" w:cs="Arial"/>
                <w:sz w:val="18"/>
                <w:szCs w:val="18"/>
              </w:rPr>
              <w:t>Software, red interna, aplicaciones, Internet, sistemas de información y comunicación y Papelería en general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E1D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309AB" w:rsidRPr="00AE1DF6" w:rsidRDefault="003309AB" w:rsidP="003309AB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  <w:p w:rsidR="003309AB" w:rsidRPr="00AE1DF6" w:rsidRDefault="003309AB" w:rsidP="003309AB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1DF6">
              <w:rPr>
                <w:rFonts w:ascii="Arial" w:hAnsi="Arial" w:cs="Arial"/>
                <w:b/>
                <w:sz w:val="18"/>
                <w:szCs w:val="18"/>
              </w:rPr>
              <w:t>Humanos:</w:t>
            </w:r>
            <w:r w:rsidRPr="00AE1DF6">
              <w:rPr>
                <w:rFonts w:ascii="Arial" w:hAnsi="Arial" w:cs="Arial"/>
                <w:sz w:val="18"/>
                <w:szCs w:val="18"/>
              </w:rPr>
              <w:t xml:space="preserve"> Secretario(a) </w:t>
            </w:r>
            <w:r>
              <w:rPr>
                <w:rFonts w:ascii="Arial" w:hAnsi="Arial" w:cs="Arial"/>
                <w:sz w:val="18"/>
                <w:szCs w:val="18"/>
              </w:rPr>
              <w:t xml:space="preserve">y Subsecretario(a) </w:t>
            </w:r>
            <w:r w:rsidRPr="00AE1DF6">
              <w:rPr>
                <w:rFonts w:ascii="Arial" w:hAnsi="Arial" w:cs="Arial"/>
                <w:sz w:val="18"/>
                <w:szCs w:val="18"/>
              </w:rPr>
              <w:t xml:space="preserve">Jurídico; Lideres de </w:t>
            </w:r>
            <w:r>
              <w:rPr>
                <w:rFonts w:ascii="Arial" w:hAnsi="Arial" w:cs="Arial"/>
                <w:sz w:val="18"/>
                <w:szCs w:val="18"/>
              </w:rPr>
              <w:t>subprocesos</w:t>
            </w:r>
            <w:r w:rsidRPr="00AE1DF6">
              <w:rPr>
                <w:rFonts w:ascii="Arial" w:hAnsi="Arial" w:cs="Arial"/>
                <w:sz w:val="18"/>
                <w:szCs w:val="18"/>
              </w:rPr>
              <w:t>, Profesionales Universitarios, Técnic</w:t>
            </w:r>
            <w:r>
              <w:rPr>
                <w:rFonts w:ascii="Arial" w:hAnsi="Arial" w:cs="Arial"/>
                <w:sz w:val="18"/>
                <w:szCs w:val="18"/>
              </w:rPr>
              <w:t>os y Auxiliares Administrativos.</w:t>
            </w:r>
          </w:p>
          <w:p w:rsidR="003309AB" w:rsidRDefault="003309AB" w:rsidP="003309AB">
            <w:pPr>
              <w:pStyle w:val="Textopredeterminad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309AB" w:rsidRPr="00AA7F8A" w:rsidRDefault="003309AB" w:rsidP="003309AB">
            <w:pPr>
              <w:pStyle w:val="Textodetabla"/>
              <w:jc w:val="left"/>
              <w:rPr>
                <w:rFonts w:ascii="Arial" w:hAnsi="Arial"/>
                <w:color w:val="auto"/>
                <w:sz w:val="18"/>
              </w:rPr>
            </w:pPr>
            <w:r w:rsidRPr="00BD57FF">
              <w:rPr>
                <w:rFonts w:ascii="Arial" w:hAnsi="Arial" w:cs="Arial"/>
                <w:b/>
                <w:sz w:val="18"/>
                <w:szCs w:val="18"/>
              </w:rPr>
              <w:t>Anexo 1: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11D5">
              <w:rPr>
                <w:rFonts w:ascii="Arial" w:hAnsi="Arial" w:cs="Arial"/>
                <w:sz w:val="18"/>
                <w:szCs w:val="18"/>
              </w:rPr>
              <w:t>Mapa detallado</w:t>
            </w:r>
            <w:r>
              <w:rPr>
                <w:rFonts w:ascii="Arial" w:hAnsi="Arial" w:cs="Arial"/>
                <w:sz w:val="18"/>
                <w:szCs w:val="18"/>
              </w:rPr>
              <w:t xml:space="preserve"> de proceso Gestión Jurídica.</w:t>
            </w:r>
          </w:p>
        </w:tc>
      </w:tr>
      <w:tr w:rsidR="003309AB" w:rsidRPr="00AA7F8A" w:rsidTr="003309AB">
        <w:trPr>
          <w:trHeight w:val="293"/>
        </w:trPr>
        <w:tc>
          <w:tcPr>
            <w:tcW w:w="26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309AB" w:rsidRPr="00AA7F8A" w:rsidRDefault="003309AB" w:rsidP="003309AB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CONTROL DE DOCUMENTOS Y REGISTROS</w:t>
            </w:r>
          </w:p>
        </w:tc>
        <w:tc>
          <w:tcPr>
            <w:tcW w:w="23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309AB" w:rsidRPr="00AA7F8A" w:rsidRDefault="003309AB" w:rsidP="003309AB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SEGUIMIENTO Y MEDICIÓN</w:t>
            </w:r>
          </w:p>
        </w:tc>
      </w:tr>
      <w:tr w:rsidR="003309AB" w:rsidRPr="00AA7F8A" w:rsidTr="003309AB">
        <w:trPr>
          <w:trHeight w:val="293"/>
        </w:trPr>
        <w:tc>
          <w:tcPr>
            <w:tcW w:w="26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9AB" w:rsidRPr="00AA7F8A" w:rsidRDefault="003309AB" w:rsidP="003309AB">
            <w:pPr>
              <w:pStyle w:val="Textopredeterminado"/>
              <w:jc w:val="both"/>
              <w:rPr>
                <w:rFonts w:ascii="Arial" w:hAnsi="Arial"/>
                <w:color w:val="auto"/>
                <w:sz w:val="18"/>
              </w:rPr>
            </w:pPr>
            <w:r w:rsidRPr="00AA7F8A">
              <w:rPr>
                <w:rFonts w:ascii="Arial" w:hAnsi="Arial"/>
                <w:color w:val="auto"/>
                <w:sz w:val="18"/>
              </w:rPr>
              <w:t xml:space="preserve"> </w:t>
            </w:r>
            <w:r w:rsidRPr="00190589">
              <w:rPr>
                <w:rFonts w:ascii="Arial" w:hAnsi="Arial"/>
                <w:sz w:val="18"/>
                <w:szCs w:val="18"/>
              </w:rPr>
              <w:t xml:space="preserve">Ver listado maestro de </w:t>
            </w:r>
            <w:r>
              <w:rPr>
                <w:rFonts w:ascii="Arial" w:hAnsi="Arial"/>
                <w:sz w:val="18"/>
                <w:szCs w:val="18"/>
              </w:rPr>
              <w:t>documentos F-MC-1000-238,37-043.</w:t>
            </w:r>
          </w:p>
        </w:tc>
        <w:tc>
          <w:tcPr>
            <w:tcW w:w="23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9AB" w:rsidRPr="00190589" w:rsidRDefault="003309AB" w:rsidP="003309AB">
            <w:pPr>
              <w:pStyle w:val="Textopredeterminado"/>
              <w:rPr>
                <w:rFonts w:ascii="Arial" w:hAnsi="Arial"/>
                <w:b/>
                <w:sz w:val="18"/>
                <w:szCs w:val="18"/>
              </w:rPr>
            </w:pPr>
            <w:r w:rsidRPr="00190589">
              <w:rPr>
                <w:rFonts w:ascii="Arial" w:hAnsi="Arial"/>
                <w:b/>
                <w:sz w:val="18"/>
                <w:szCs w:val="18"/>
              </w:rPr>
              <w:t>INDICADORES</w:t>
            </w:r>
          </w:p>
          <w:p w:rsidR="003309AB" w:rsidRPr="00AA7F8A" w:rsidRDefault="003309AB" w:rsidP="003309AB">
            <w:pPr>
              <w:pStyle w:val="Textodetabla"/>
              <w:jc w:val="left"/>
              <w:rPr>
                <w:color w:val="auto"/>
                <w:sz w:val="18"/>
              </w:rPr>
            </w:pPr>
            <w:r w:rsidRPr="00190589">
              <w:rPr>
                <w:rFonts w:ascii="Arial" w:hAnsi="Arial"/>
                <w:sz w:val="18"/>
                <w:szCs w:val="18"/>
              </w:rPr>
              <w:t>Ver tablero de indicadores F-MC-1000-238,37-045.</w:t>
            </w:r>
          </w:p>
        </w:tc>
      </w:tr>
      <w:tr w:rsidR="003309AB" w:rsidRPr="00AA7F8A" w:rsidTr="003309AB">
        <w:trPr>
          <w:trHeight w:val="29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309AB" w:rsidRPr="00AA7F8A" w:rsidRDefault="003309AB" w:rsidP="003309AB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CONTROL DE CAMBIOS</w:t>
            </w:r>
          </w:p>
        </w:tc>
      </w:tr>
      <w:tr w:rsidR="003309AB" w:rsidRPr="00AA7F8A" w:rsidTr="003309AB">
        <w:trPr>
          <w:trHeight w:val="293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309AB" w:rsidRPr="00AA7F8A" w:rsidRDefault="003309AB" w:rsidP="003309AB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FECHA</w:t>
            </w:r>
          </w:p>
        </w:tc>
        <w:tc>
          <w:tcPr>
            <w:tcW w:w="21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309AB" w:rsidRPr="00AA7F8A" w:rsidRDefault="003309AB" w:rsidP="003309AB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OBSERVACIONES DEL CAMBIO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309AB" w:rsidRPr="00AA7F8A" w:rsidRDefault="003309AB" w:rsidP="003309AB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REVISADO POR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309AB" w:rsidRPr="00AA7F8A" w:rsidRDefault="003309AB" w:rsidP="003309AB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VERSIÓN</w:t>
            </w:r>
          </w:p>
        </w:tc>
      </w:tr>
      <w:tr w:rsidR="003309AB" w:rsidRPr="00AA7F8A" w:rsidTr="003309AB">
        <w:trPr>
          <w:trHeight w:val="293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9AB" w:rsidRPr="00C63E2C" w:rsidRDefault="003309AB" w:rsidP="003309AB">
            <w:pPr>
              <w:pStyle w:val="Textopredeterminad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28/06/2017</w:t>
            </w:r>
          </w:p>
        </w:tc>
        <w:tc>
          <w:tcPr>
            <w:tcW w:w="21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9AB" w:rsidRPr="00C63E2C" w:rsidRDefault="003309AB" w:rsidP="003309AB">
            <w:pPr>
              <w:pStyle w:val="Textodetabla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Creación de Caracterización Proceso Gestión Jurídica.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9AB" w:rsidRPr="00C63E2C" w:rsidRDefault="003309AB" w:rsidP="003309AB">
            <w:pPr>
              <w:pStyle w:val="Textodetabla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Líder del proceso/ Enlace de calidad/ Líder SIGC.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9AB" w:rsidRPr="00C63E2C" w:rsidRDefault="003309AB" w:rsidP="003309AB">
            <w:pPr>
              <w:pStyle w:val="Textodetabla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0.0</w:t>
            </w:r>
          </w:p>
        </w:tc>
      </w:tr>
      <w:tr w:rsidR="0091012F" w:rsidRPr="00AA7F8A" w:rsidTr="0002104F">
        <w:trPr>
          <w:trHeight w:val="293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12F" w:rsidRDefault="0091012F" w:rsidP="0091012F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07/11/18</w:t>
            </w:r>
          </w:p>
        </w:tc>
        <w:tc>
          <w:tcPr>
            <w:tcW w:w="21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12F" w:rsidRPr="00EA5C49" w:rsidRDefault="0091012F" w:rsidP="0091012F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EA5C49">
              <w:rPr>
                <w:rFonts w:ascii="Arial" w:hAnsi="Arial" w:cs="Arial"/>
                <w:color w:val="auto"/>
                <w:sz w:val="18"/>
              </w:rPr>
              <w:t xml:space="preserve">Se ajustó colocando la frase “en el proceso” en el texto del normograma, en el de listado maestro y en el tablero de indicadores. Además, se eliminó donde hacía referencia a la norma NTC:GP 1000 la cual fue derogada por el </w:t>
            </w:r>
            <w:r>
              <w:rPr>
                <w:rFonts w:ascii="Arial" w:hAnsi="Arial" w:cs="Arial"/>
                <w:color w:val="auto"/>
                <w:sz w:val="18"/>
              </w:rPr>
              <w:t>D</w:t>
            </w:r>
            <w:r w:rsidRPr="00EA5C49">
              <w:rPr>
                <w:rFonts w:ascii="Arial" w:hAnsi="Arial" w:cs="Arial"/>
                <w:color w:val="auto"/>
                <w:sz w:val="18"/>
              </w:rPr>
              <w:t xml:space="preserve">ecreto 1499 de septiembre de 2017, además se verificaron los requisitos de MECI.  Por el tipo de cambio será revisado y aprobado por calidad y </w:t>
            </w:r>
            <w:r w:rsidRPr="00EA5C49">
              <w:rPr>
                <w:rFonts w:ascii="Arial" w:hAnsi="Arial" w:cs="Arial"/>
                <w:color w:val="auto"/>
                <w:sz w:val="18"/>
              </w:rPr>
              <w:lastRenderedPageBreak/>
              <w:t>comunicado al proceso respectivo ya que no se ajustó nada referente al PHVA del proceso.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12F" w:rsidRPr="00EA5C49" w:rsidRDefault="0091012F" w:rsidP="0091012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 w:rsidRPr="00EA5C4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lastRenderedPageBreak/>
              <w:t>Representante de la Dirección</w:t>
            </w:r>
          </w:p>
          <w:p w:rsidR="0091012F" w:rsidRPr="00EA5C49" w:rsidRDefault="0091012F" w:rsidP="0091012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 w:rsidRPr="00EA5C4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Enlace de Calidad</w:t>
            </w:r>
          </w:p>
          <w:p w:rsidR="0091012F" w:rsidRPr="00272282" w:rsidRDefault="0091012F" w:rsidP="0091012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Líder SIGC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12F" w:rsidRDefault="0091012F" w:rsidP="0091012F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1.0</w:t>
            </w:r>
          </w:p>
        </w:tc>
      </w:tr>
      <w:tr w:rsidR="0091012F" w:rsidRPr="00AA7F8A" w:rsidTr="003309AB">
        <w:trPr>
          <w:trHeight w:val="350"/>
        </w:trPr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12F" w:rsidRPr="00AA7F8A" w:rsidRDefault="0091012F" w:rsidP="0091012F">
            <w:pPr>
              <w:pStyle w:val="Textodetabla"/>
              <w:jc w:val="center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12F" w:rsidRPr="00AA7F8A" w:rsidRDefault="0091012F" w:rsidP="0091012F">
            <w:pPr>
              <w:pStyle w:val="Textodetabla"/>
              <w:jc w:val="center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12F" w:rsidRPr="00AA7F8A" w:rsidRDefault="0091012F" w:rsidP="0091012F">
            <w:pPr>
              <w:pStyle w:val="Textodetabla"/>
              <w:jc w:val="center"/>
              <w:rPr>
                <w:rFonts w:ascii="Arial" w:hAnsi="Arial"/>
                <w:caps/>
                <w:color w:val="auto"/>
                <w:sz w:val="18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12F" w:rsidRPr="00AA7F8A" w:rsidRDefault="0091012F" w:rsidP="0091012F">
            <w:pPr>
              <w:pStyle w:val="Textodetabla"/>
              <w:jc w:val="center"/>
              <w:rPr>
                <w:color w:val="auto"/>
                <w:sz w:val="18"/>
              </w:rPr>
            </w:pPr>
          </w:p>
        </w:tc>
      </w:tr>
    </w:tbl>
    <w:p w:rsidR="00F3375E" w:rsidRDefault="00C232CB">
      <w:r>
        <w:br w:type="textWrapping" w:clear="all"/>
      </w:r>
    </w:p>
    <w:p w:rsidR="002465F0" w:rsidRDefault="002465F0"/>
    <w:sectPr w:rsidR="002465F0" w:rsidSect="003309AB">
      <w:headerReference w:type="default" r:id="rId8"/>
      <w:pgSz w:w="15840" w:h="12240" w:orient="landscape" w:code="1"/>
      <w:pgMar w:top="1701" w:right="1418" w:bottom="1701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157" w:rsidRDefault="00DF5157" w:rsidP="00AA7F8A">
      <w:r>
        <w:separator/>
      </w:r>
    </w:p>
  </w:endnote>
  <w:endnote w:type="continuationSeparator" w:id="0">
    <w:p w:rsidR="00DF5157" w:rsidRDefault="00DF5157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157" w:rsidRDefault="00DF5157" w:rsidP="00AA7F8A">
      <w:r>
        <w:separator/>
      </w:r>
    </w:p>
  </w:footnote>
  <w:footnote w:type="continuationSeparator" w:id="0">
    <w:p w:rsidR="00DF5157" w:rsidRDefault="00DF5157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1461"/>
      <w:gridCol w:w="7040"/>
      <w:gridCol w:w="2129"/>
      <w:gridCol w:w="2368"/>
    </w:tblGrid>
    <w:tr w:rsidR="00AA7F8A" w:rsidRPr="00AA7F8A" w:rsidTr="003309AB">
      <w:trPr>
        <w:trHeight w:val="274"/>
        <w:jc w:val="center"/>
      </w:trPr>
      <w:tc>
        <w:tcPr>
          <w:tcW w:w="562" w:type="pct"/>
          <w:vMerge w:val="restart"/>
          <w:tcBorders>
            <w:top w:val="single" w:sz="2" w:space="0" w:color="000000"/>
            <w:left w:val="single" w:sz="2" w:space="0" w:color="000000"/>
            <w:right w:val="single" w:sz="4" w:space="0" w:color="000000"/>
          </w:tcBorders>
        </w:tcPr>
        <w:p w:rsidR="00AA7F8A" w:rsidRPr="00AA7F8A" w:rsidRDefault="00AA7F8A" w:rsidP="00C9644F">
          <w:pPr>
            <w:jc w:val="center"/>
            <w:rPr>
              <w:rFonts w:ascii="Arial" w:hAnsi="Arial"/>
              <w:b/>
              <w:sz w:val="20"/>
            </w:rPr>
          </w:pPr>
          <w:r w:rsidRPr="00AA7F8A">
            <w:rPr>
              <w:noProof/>
              <w:lang w:val="en-US" w:eastAsia="en-US"/>
            </w:rPr>
            <w:drawing>
              <wp:inline distT="0" distB="0" distL="0" distR="0" wp14:anchorId="36F201AE" wp14:editId="7D373358">
                <wp:extent cx="570016" cy="655093"/>
                <wp:effectExtent l="0" t="0" r="1905" b="0"/>
                <wp:docPr id="2" name="Imagen 2" descr="Escudo Alcaldia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Escudo Alcaldi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437" cy="655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8" w:type="pct"/>
          <w:vMerge w:val="restart"/>
          <w:tcBorders>
            <w:top w:val="single" w:sz="2" w:space="0" w:color="000000"/>
            <w:left w:val="single" w:sz="2" w:space="0" w:color="000000"/>
            <w:right w:val="single" w:sz="4" w:space="0" w:color="000000"/>
          </w:tcBorders>
          <w:vAlign w:val="center"/>
        </w:tcPr>
        <w:p w:rsidR="00AA7F8A" w:rsidRPr="00AA7F8A" w:rsidRDefault="00AA7F8A" w:rsidP="00C9644F">
          <w:pPr>
            <w:jc w:val="center"/>
          </w:pPr>
          <w:r w:rsidRPr="00AA7F8A">
            <w:rPr>
              <w:rFonts w:ascii="Arial" w:hAnsi="Arial"/>
              <w:b/>
              <w:sz w:val="20"/>
            </w:rPr>
            <w:t xml:space="preserve">CARACTERIZACIÓN DEL PROCESO </w:t>
          </w:r>
        </w:p>
      </w:tc>
      <w:tc>
        <w:tcPr>
          <w:tcW w:w="819" w:type="pct"/>
          <w:tcBorders>
            <w:top w:val="single" w:sz="2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A7F8A" w:rsidRPr="00AA7F8A" w:rsidRDefault="00AA7F8A" w:rsidP="00C9644F">
          <w:pPr>
            <w:pStyle w:val="Textodetabla"/>
            <w:jc w:val="left"/>
          </w:pPr>
          <w:r w:rsidRPr="00AA7F8A">
            <w:rPr>
              <w:rFonts w:ascii="Arial" w:hAnsi="Arial"/>
              <w:sz w:val="20"/>
            </w:rPr>
            <w:t>Código:</w:t>
          </w:r>
        </w:p>
      </w:tc>
      <w:tc>
        <w:tcPr>
          <w:tcW w:w="911" w:type="pct"/>
          <w:tcBorders>
            <w:top w:val="single" w:sz="2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vAlign w:val="center"/>
        </w:tcPr>
        <w:p w:rsidR="00AA7F8A" w:rsidRPr="00AA7F8A" w:rsidRDefault="00AA7F8A" w:rsidP="00C9644F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AA7F8A">
            <w:rPr>
              <w:rFonts w:ascii="Arial" w:hAnsi="Arial" w:cs="Arial"/>
              <w:sz w:val="20"/>
            </w:rPr>
            <w:t>F-MC-1000-238,37-061</w:t>
          </w:r>
        </w:p>
      </w:tc>
    </w:tr>
    <w:tr w:rsidR="00AA7F8A" w:rsidRPr="00AA7F8A" w:rsidTr="003309AB">
      <w:tblPrEx>
        <w:tblBorders>
          <w:top w:val="single" w:sz="4" w:space="0" w:color="000000"/>
        </w:tblBorders>
      </w:tblPrEx>
      <w:trPr>
        <w:trHeight w:val="131"/>
        <w:jc w:val="center"/>
      </w:trPr>
      <w:tc>
        <w:tcPr>
          <w:tcW w:w="562" w:type="pct"/>
          <w:vMerge/>
          <w:tcBorders>
            <w:left w:val="single" w:sz="2" w:space="0" w:color="000000"/>
            <w:right w:val="single" w:sz="4" w:space="0" w:color="000000"/>
          </w:tcBorders>
        </w:tcPr>
        <w:p w:rsidR="00AA7F8A" w:rsidRPr="00AA7F8A" w:rsidRDefault="00AA7F8A" w:rsidP="00C9644F">
          <w:pPr>
            <w:pStyle w:val="Textopredeterminado"/>
          </w:pPr>
        </w:p>
      </w:tc>
      <w:tc>
        <w:tcPr>
          <w:tcW w:w="2708" w:type="pct"/>
          <w:vMerge/>
          <w:tcBorders>
            <w:left w:val="single" w:sz="2" w:space="0" w:color="000000"/>
            <w:right w:val="single" w:sz="4" w:space="0" w:color="000000"/>
          </w:tcBorders>
        </w:tcPr>
        <w:p w:rsidR="00AA7F8A" w:rsidRPr="00AA7F8A" w:rsidRDefault="00AA7F8A" w:rsidP="00C9644F">
          <w:pPr>
            <w:pStyle w:val="Textopredeterminado"/>
          </w:pPr>
        </w:p>
      </w:tc>
      <w:tc>
        <w:tcPr>
          <w:tcW w:w="81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A7F8A" w:rsidRPr="00AA7F8A" w:rsidRDefault="00AA7F8A" w:rsidP="00C9644F">
          <w:pPr>
            <w:pStyle w:val="Textodetabla"/>
            <w:jc w:val="left"/>
          </w:pPr>
          <w:r w:rsidRPr="00AA7F8A">
            <w:rPr>
              <w:rFonts w:ascii="Arial" w:hAnsi="Arial"/>
              <w:sz w:val="20"/>
            </w:rPr>
            <w:t>Versión:</w:t>
          </w:r>
        </w:p>
      </w:tc>
      <w:tc>
        <w:tcPr>
          <w:tcW w:w="91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vAlign w:val="center"/>
        </w:tcPr>
        <w:p w:rsidR="00AA7F8A" w:rsidRPr="00AA7F8A" w:rsidRDefault="00AA7F8A" w:rsidP="00C9644F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AA7F8A">
            <w:rPr>
              <w:rFonts w:ascii="Arial" w:hAnsi="Arial" w:cs="Arial"/>
              <w:sz w:val="20"/>
            </w:rPr>
            <w:t>1.0</w:t>
          </w:r>
        </w:p>
      </w:tc>
    </w:tr>
    <w:tr w:rsidR="00AA7F8A" w:rsidRPr="00AA7F8A" w:rsidTr="003309AB">
      <w:tblPrEx>
        <w:tblBorders>
          <w:top w:val="single" w:sz="4" w:space="0" w:color="000000"/>
        </w:tblBorders>
      </w:tblPrEx>
      <w:trPr>
        <w:trHeight w:val="318"/>
        <w:jc w:val="center"/>
      </w:trPr>
      <w:tc>
        <w:tcPr>
          <w:tcW w:w="562" w:type="pct"/>
          <w:vMerge/>
          <w:tcBorders>
            <w:left w:val="single" w:sz="2" w:space="0" w:color="000000"/>
            <w:right w:val="single" w:sz="4" w:space="0" w:color="000000"/>
          </w:tcBorders>
        </w:tcPr>
        <w:p w:rsidR="00AA7F8A" w:rsidRPr="00AA7F8A" w:rsidRDefault="00AA7F8A" w:rsidP="00C9644F">
          <w:pPr>
            <w:pStyle w:val="Textopredeterminado"/>
          </w:pPr>
        </w:p>
      </w:tc>
      <w:tc>
        <w:tcPr>
          <w:tcW w:w="2708" w:type="pct"/>
          <w:vMerge/>
          <w:tcBorders>
            <w:left w:val="single" w:sz="2" w:space="0" w:color="000000"/>
            <w:right w:val="single" w:sz="4" w:space="0" w:color="000000"/>
          </w:tcBorders>
        </w:tcPr>
        <w:p w:rsidR="00AA7F8A" w:rsidRPr="00AA7F8A" w:rsidRDefault="00AA7F8A" w:rsidP="00C9644F">
          <w:pPr>
            <w:pStyle w:val="Textopredeterminado"/>
          </w:pPr>
        </w:p>
      </w:tc>
      <w:tc>
        <w:tcPr>
          <w:tcW w:w="81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A7F8A" w:rsidRPr="00AA7F8A" w:rsidRDefault="00AA7F8A" w:rsidP="00C9644F">
          <w:pPr>
            <w:pStyle w:val="Textodetabla"/>
            <w:jc w:val="left"/>
            <w:rPr>
              <w:rFonts w:ascii="Arial" w:hAnsi="Arial"/>
              <w:sz w:val="20"/>
            </w:rPr>
          </w:pPr>
          <w:r w:rsidRPr="00AA7F8A">
            <w:rPr>
              <w:rFonts w:ascii="Arial" w:hAnsi="Arial"/>
              <w:sz w:val="20"/>
            </w:rPr>
            <w:t xml:space="preserve">Fecha Aprobación: </w:t>
          </w:r>
        </w:p>
      </w:tc>
      <w:tc>
        <w:tcPr>
          <w:tcW w:w="91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vAlign w:val="center"/>
        </w:tcPr>
        <w:p w:rsidR="00AA7F8A" w:rsidRPr="00AA7F8A" w:rsidRDefault="00AA7F8A" w:rsidP="00C9644F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AA7F8A">
            <w:rPr>
              <w:rFonts w:ascii="Arial" w:hAnsi="Arial" w:cs="Arial"/>
              <w:sz w:val="20"/>
            </w:rPr>
            <w:t>Junio- 07- 2017</w:t>
          </w:r>
        </w:p>
      </w:tc>
    </w:tr>
    <w:tr w:rsidR="00AA7F8A" w:rsidRPr="00AA7F8A" w:rsidTr="003309AB">
      <w:tblPrEx>
        <w:tblBorders>
          <w:top w:val="single" w:sz="4" w:space="0" w:color="000000"/>
          <w:bottom w:val="single" w:sz="2" w:space="0" w:color="000000"/>
          <w:insideH w:val="single" w:sz="2" w:space="0" w:color="000000"/>
        </w:tblBorders>
      </w:tblPrEx>
      <w:trPr>
        <w:trHeight w:val="138"/>
        <w:jc w:val="center"/>
      </w:trPr>
      <w:tc>
        <w:tcPr>
          <w:tcW w:w="562" w:type="pct"/>
          <w:vMerge/>
          <w:tcBorders>
            <w:left w:val="single" w:sz="2" w:space="0" w:color="000000"/>
            <w:bottom w:val="single" w:sz="2" w:space="0" w:color="000000"/>
            <w:right w:val="single" w:sz="4" w:space="0" w:color="000000"/>
          </w:tcBorders>
        </w:tcPr>
        <w:p w:rsidR="00AA7F8A" w:rsidRPr="00AA7F8A" w:rsidRDefault="00AA7F8A" w:rsidP="00C9644F">
          <w:pPr>
            <w:pStyle w:val="Textodetabla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2708" w:type="pct"/>
          <w:vMerge/>
          <w:tcBorders>
            <w:left w:val="single" w:sz="2" w:space="0" w:color="000000"/>
            <w:bottom w:val="single" w:sz="2" w:space="0" w:color="000000"/>
            <w:right w:val="single" w:sz="4" w:space="0" w:color="000000"/>
          </w:tcBorders>
          <w:vAlign w:val="center"/>
        </w:tcPr>
        <w:p w:rsidR="00AA7F8A" w:rsidRPr="00AA7F8A" w:rsidRDefault="00AA7F8A" w:rsidP="00C9644F">
          <w:pPr>
            <w:pStyle w:val="Textodetabla"/>
            <w:jc w:val="center"/>
          </w:pPr>
        </w:p>
      </w:tc>
      <w:tc>
        <w:tcPr>
          <w:tcW w:w="819" w:type="pct"/>
          <w:tcBorders>
            <w:top w:val="single" w:sz="4" w:space="0" w:color="000000"/>
            <w:left w:val="single" w:sz="4" w:space="0" w:color="000000"/>
            <w:bottom w:val="single" w:sz="2" w:space="0" w:color="000000"/>
            <w:right w:val="single" w:sz="4" w:space="0" w:color="000000"/>
          </w:tcBorders>
          <w:vAlign w:val="center"/>
        </w:tcPr>
        <w:p w:rsidR="00AA7F8A" w:rsidRPr="00AA7F8A" w:rsidRDefault="00AA7F8A" w:rsidP="00C9644F">
          <w:pPr>
            <w:pStyle w:val="Textodetabla"/>
            <w:jc w:val="left"/>
          </w:pPr>
          <w:r w:rsidRPr="00AA7F8A">
            <w:rPr>
              <w:rFonts w:ascii="Arial" w:hAnsi="Arial"/>
              <w:sz w:val="20"/>
            </w:rPr>
            <w:t>Página:</w:t>
          </w:r>
        </w:p>
      </w:tc>
      <w:tc>
        <w:tcPr>
          <w:tcW w:w="911" w:type="pct"/>
          <w:tcBorders>
            <w:top w:val="single" w:sz="4" w:space="0" w:color="000000"/>
            <w:left w:val="single" w:sz="4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A7F8A" w:rsidRPr="00AA7F8A" w:rsidRDefault="003309AB" w:rsidP="00C9644F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3309AB">
            <w:rPr>
              <w:rFonts w:ascii="Arial" w:hAnsi="Arial" w:cs="Arial"/>
              <w:sz w:val="20"/>
              <w:lang w:val="es-ES"/>
            </w:rPr>
            <w:t xml:space="preserve">Página </w:t>
          </w:r>
          <w:r w:rsidRPr="003309AB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3309AB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3309AB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BE444C" w:rsidRPr="00BE444C">
            <w:rPr>
              <w:rFonts w:ascii="Arial" w:hAnsi="Arial" w:cs="Arial"/>
              <w:b/>
              <w:bCs/>
              <w:noProof/>
              <w:sz w:val="20"/>
              <w:lang w:val="es-ES"/>
            </w:rPr>
            <w:t>5</w:t>
          </w:r>
          <w:r w:rsidRPr="003309AB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3309AB">
            <w:rPr>
              <w:rFonts w:ascii="Arial" w:hAnsi="Arial" w:cs="Arial"/>
              <w:sz w:val="20"/>
              <w:lang w:val="es-ES"/>
            </w:rPr>
            <w:t xml:space="preserve"> de </w:t>
          </w:r>
          <w:r w:rsidRPr="003309AB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3309AB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3309AB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BE444C" w:rsidRPr="00BE444C">
            <w:rPr>
              <w:rFonts w:ascii="Arial" w:hAnsi="Arial" w:cs="Arial"/>
              <w:b/>
              <w:bCs/>
              <w:noProof/>
              <w:sz w:val="20"/>
              <w:lang w:val="es-ES"/>
            </w:rPr>
            <w:t>5</w:t>
          </w:r>
          <w:r w:rsidRPr="003309AB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</w:tbl>
  <w:p w:rsidR="00AA7F8A" w:rsidRPr="00AA7F8A" w:rsidRDefault="00AA7F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91876"/>
    <w:multiLevelType w:val="hybridMultilevel"/>
    <w:tmpl w:val="6E622F6E"/>
    <w:lvl w:ilvl="0" w:tplc="B89E0C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A"/>
    <w:rsid w:val="001F268D"/>
    <w:rsid w:val="002465F0"/>
    <w:rsid w:val="003309AB"/>
    <w:rsid w:val="003A7FCD"/>
    <w:rsid w:val="003F4850"/>
    <w:rsid w:val="00426083"/>
    <w:rsid w:val="00566563"/>
    <w:rsid w:val="005C6DCA"/>
    <w:rsid w:val="006127CB"/>
    <w:rsid w:val="0067714D"/>
    <w:rsid w:val="00822A69"/>
    <w:rsid w:val="00835511"/>
    <w:rsid w:val="00844835"/>
    <w:rsid w:val="008600A9"/>
    <w:rsid w:val="0091012F"/>
    <w:rsid w:val="00AA7F8A"/>
    <w:rsid w:val="00AE0739"/>
    <w:rsid w:val="00AF1893"/>
    <w:rsid w:val="00B04F15"/>
    <w:rsid w:val="00BE444C"/>
    <w:rsid w:val="00C232CB"/>
    <w:rsid w:val="00D200D2"/>
    <w:rsid w:val="00DF5157"/>
    <w:rsid w:val="00E13E4B"/>
    <w:rsid w:val="00E20AF5"/>
    <w:rsid w:val="00E2542B"/>
    <w:rsid w:val="00E54F55"/>
    <w:rsid w:val="00EA7184"/>
    <w:rsid w:val="00EC3EF1"/>
    <w:rsid w:val="00F01E36"/>
    <w:rsid w:val="00F268C2"/>
    <w:rsid w:val="00F766DA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88C18"/>
  <w15:docId w15:val="{153091CD-87C1-4303-A807-21879592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paragraph" w:customStyle="1" w:styleId="Default">
    <w:name w:val="Default"/>
    <w:rsid w:val="003F4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customStyle="1" w:styleId="a">
    <w:basedOn w:val="Normal"/>
    <w:next w:val="Descripcin"/>
    <w:qFormat/>
    <w:rsid w:val="00AE0739"/>
    <w:pPr>
      <w:tabs>
        <w:tab w:val="clear" w:pos="0"/>
      </w:tabs>
      <w:spacing w:after="240"/>
      <w:jc w:val="center"/>
    </w:pPr>
    <w:rPr>
      <w:rFonts w:ascii="Arial Black" w:hAnsi="Arial Black"/>
      <w:sz w:val="48"/>
      <w:lang w:val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485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Vieta1">
    <w:name w:val="Viñeta 1"/>
    <w:basedOn w:val="Normal"/>
    <w:rsid w:val="003F4850"/>
    <w:pPr>
      <w:tabs>
        <w:tab w:val="clear" w:pos="0"/>
      </w:tabs>
    </w:pPr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AE07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caramanga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Esperanza Vanegas Aguilar</dc:creator>
  <cp:lastModifiedBy>Usuario de Windows</cp:lastModifiedBy>
  <cp:revision>5</cp:revision>
  <cp:lastPrinted>2019-01-18T18:26:00Z</cp:lastPrinted>
  <dcterms:created xsi:type="dcterms:W3CDTF">2019-01-18T18:24:00Z</dcterms:created>
  <dcterms:modified xsi:type="dcterms:W3CDTF">2019-01-18T18:27:00Z</dcterms:modified>
</cp:coreProperties>
</file>